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rStyle w:val="FNID0EJA51"/>
          <w:b/>
          <w:bCs/>
          <w:color w:val="BD2826"/>
          <w:sz w:val="32"/>
          <w:szCs w:val="32"/>
          <w:lang w:val="de" w:eastAsia="de"/>
        </w:rPr>
        <w:t xml:space="preserve">Modulvergleich der Module </w:t>
      </w:r>
    </w:p>
    <w:sectPr>
      <w:headerReference w:type="default" r:id="rId5"/>
      <w:footerReference w:type="default" r:id="rId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00:16 -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character" w:customStyle="1" w:styleId="hidden-print">
    <w:name w:val="hidden-print"/>
    <w:basedOn w:val="DefaultParagraphFont"/>
    <w:rPr>
      <w:vanish/>
    </w:rPr>
  </w:style>
  <w:style w:type="character" w:customStyle="1" w:styleId="visible-print">
    <w:name w:val="visible-print"/>
    <w:basedOn w:val="DefaultParagraphFont"/>
  </w:style>
  <w:style w:type="character" w:customStyle="1" w:styleId="FNID0EJA51">
    <w:name w:val="FNID0EJA51"/>
    <w:basedOn w:val="DefaultParagraphFont"/>
  </w:style>
  <w:style w:type="paragraph" w:customStyle="1" w:styleId="hidden-printParagraph">
    <w:name w:val="hidden-print Paragraph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ArbR - Arbeitsrecht Aktuell - beck-online</dc:title>
  <cp:revision>0</cp:revision>
</cp:coreProperties>
</file>